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39" w:rsidRPr="008D2108" w:rsidRDefault="00690B39" w:rsidP="00690B39">
      <w:pPr>
        <w:shd w:val="clear" w:color="auto" w:fill="A8D08D" w:themeFill="accent6" w:themeFillTint="99"/>
        <w:spacing w:after="0"/>
        <w:jc w:val="center"/>
        <w:rPr>
          <w:rFonts w:ascii="Times New Roman" w:hAnsi="Times New Roman" w:cs="Times New Roman"/>
          <w:b/>
          <w:sz w:val="28"/>
          <w:szCs w:val="28"/>
        </w:rPr>
      </w:pPr>
      <w:r w:rsidRPr="008D2108">
        <w:rPr>
          <w:rFonts w:ascii="Times New Roman" w:hAnsi="Times New Roman" w:cs="Times New Roman"/>
          <w:b/>
          <w:sz w:val="28"/>
          <w:szCs w:val="28"/>
        </w:rPr>
        <w:t>РЕКОМЕНДАЦИИ ДЛЯ РОДИТЕЛЕЙ ПО ПРОФИЛАКТИКЕ УПОТРЕБЛЕНИЯ ПСИХОАКТИВНЫХ ВЕЩЕСТВ СРЕДИ НЕСОВЕРШЕННОЛЕТНИХ</w:t>
      </w:r>
    </w:p>
    <w:p w:rsidR="00690B39" w:rsidRPr="008D2108" w:rsidRDefault="00690B39" w:rsidP="00690B39">
      <w:pPr>
        <w:shd w:val="clear" w:color="auto" w:fill="A8D08D" w:themeFill="accent6" w:themeFillTint="99"/>
        <w:spacing w:after="0"/>
        <w:jc w:val="center"/>
        <w:rPr>
          <w:rFonts w:ascii="Times New Roman" w:hAnsi="Times New Roman" w:cs="Times New Roman"/>
          <w:sz w:val="28"/>
          <w:szCs w:val="28"/>
          <w:u w:val="single"/>
        </w:rPr>
      </w:pP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u w:val="single"/>
        </w:rPr>
      </w:pPr>
      <w:r w:rsidRPr="008D2108">
        <w:rPr>
          <w:rFonts w:ascii="Times New Roman" w:hAnsi="Times New Roman" w:cs="Times New Roman"/>
          <w:sz w:val="28"/>
          <w:szCs w:val="28"/>
          <w:u w:val="single"/>
        </w:rPr>
        <w:t>Почему подростки начинают пробовать наркотики?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возможно, это выражение внутреннего протеста;</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может, это знак принадлежности к определенной группе;</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это риск, а потому интересно;</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это приносит приятные ощущения;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это помогает чувствовать себя взрослым;</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это помогает забыть о проблемах;</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он не умеет говорить «нет»</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Если вы подозреваете, что подросток склонен к употреблению наркотиков или употребляет наркотики: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Не читайте мораль.</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Ни в коем случае не угрожайте и не наказывайте их.</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Разговаривайте с детьми. Если вы не общаетесь, значит, отдаляетесь друг от друга.</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Умейте слушать – внимательно, с пониманием, не перебивая и не настаивая на своем.</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Рассказывайте им о себе. Пусть ваши дети знают, что вы готовы поделиться с ними, а не уходите в себя.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Будьте рядом – важно, чтобы подростки понимали, что дверь к вам открыта, и всегда есть возможность побыть и поговорить с вами.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Будьте тверды и последовательны. Не выставляйте условий, которые не можете выполнить. Ребенок должен знать, чего от вас ожидать.</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Общайтесь с их друзьями. Подросток ведет себя по-другому, находясь под влиянием окружения.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Не запугивайте. Ребенок может перестать вам доверять.</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 И вы должны помочь им в этом.</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Помните, что дети нуждаются в вашей поддержке. Помогите поверить им в свои силы.</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p>
    <w:p w:rsidR="00690B39" w:rsidRDefault="00690B39" w:rsidP="00690B39">
      <w:pPr>
        <w:shd w:val="clear" w:color="auto" w:fill="A8D08D" w:themeFill="accent6" w:themeFillTint="99"/>
        <w:rPr>
          <w:rFonts w:ascii="Times New Roman" w:hAnsi="Times New Roman" w:cs="Times New Roman"/>
          <w:sz w:val="28"/>
          <w:szCs w:val="28"/>
        </w:rPr>
      </w:pPr>
      <w:r>
        <w:rPr>
          <w:rFonts w:ascii="Times New Roman" w:hAnsi="Times New Roman" w:cs="Times New Roman"/>
          <w:sz w:val="28"/>
          <w:szCs w:val="28"/>
        </w:rPr>
        <w:br w:type="page"/>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u w:val="single"/>
        </w:rPr>
      </w:pPr>
      <w:r w:rsidRPr="008D2108">
        <w:rPr>
          <w:rFonts w:ascii="Times New Roman" w:hAnsi="Times New Roman" w:cs="Times New Roman"/>
          <w:sz w:val="28"/>
          <w:szCs w:val="28"/>
          <w:u w:val="single"/>
        </w:rPr>
        <w:t>Признаки употребления наркотических веществ:</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Когда же стоит бить тревогу? Когда для этого есть серьезные основания?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u w:val="single"/>
        </w:rPr>
      </w:pPr>
      <w:r w:rsidRPr="008D2108">
        <w:rPr>
          <w:rFonts w:ascii="Times New Roman" w:hAnsi="Times New Roman" w:cs="Times New Roman"/>
          <w:sz w:val="28"/>
          <w:szCs w:val="28"/>
          <w:u w:val="single"/>
        </w:rPr>
        <w:t>Признаки, которые должны насторожить взрослых:</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бледность кожи;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расширенные или суженные зрачки;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покрасневшие или мутные глаза;</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замедленная речь;</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частые простуды;</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плохая координация движений;</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следы от уколов, порезы, синяки;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свернутые в трубочку бумажки, фольга;</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маленькие ложечки, капсулы, пузырьки, неизвестные таблетки, порошки.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u w:val="single"/>
        </w:rPr>
      </w:pPr>
      <w:r w:rsidRPr="008D2108">
        <w:rPr>
          <w:rFonts w:ascii="Times New Roman" w:hAnsi="Times New Roman" w:cs="Times New Roman"/>
          <w:sz w:val="28"/>
          <w:szCs w:val="28"/>
          <w:u w:val="single"/>
        </w:rPr>
        <w:t>Изменения в поведении: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нарастающее безразличие, высказывания о бессмыслии жизни;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уход из дома и прогулы в школе;</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ухудшение памяти, падение успеваемости;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невозможность сосредоточиться;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бессонница, чередующаяся с сонливостью;</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болезненная реакция на критику, агрессивность;</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частая и резкая смена настроения;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необычные просьбы дать денег или появление сумм неизвестного происхождения;</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пропажа из дома ценностей, книг, одежды;</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 частые необъяснимые телефонные звонки.</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r w:rsidRPr="008D2108">
        <w:rPr>
          <w:rFonts w:ascii="Times New Roman" w:hAnsi="Times New Roman" w:cs="Times New Roman"/>
          <w:sz w:val="28"/>
          <w:szCs w:val="28"/>
        </w:rPr>
        <w:t>Вы должны знать, что наиболее вероятный возраст вовлечения в наркотическую зависимость – 9-19 лет; наркотическая зависимость может наступить после 2-10 инъекций героина.</w:t>
      </w:r>
    </w:p>
    <w:p w:rsidR="00690B39" w:rsidRPr="008D2108" w:rsidRDefault="00690B39" w:rsidP="00690B39">
      <w:pPr>
        <w:shd w:val="clear" w:color="auto" w:fill="A8D08D" w:themeFill="accent6" w:themeFillTint="99"/>
        <w:spacing w:after="0"/>
        <w:jc w:val="both"/>
        <w:rPr>
          <w:rFonts w:ascii="Times New Roman" w:hAnsi="Times New Roman" w:cs="Times New Roman"/>
          <w:sz w:val="28"/>
          <w:szCs w:val="28"/>
        </w:rPr>
      </w:pPr>
    </w:p>
    <w:p w:rsidR="00690B39" w:rsidRPr="008D2108" w:rsidRDefault="00690B39" w:rsidP="00690B39">
      <w:pPr>
        <w:shd w:val="clear" w:color="auto" w:fill="A8D08D" w:themeFill="accent6" w:themeFillTint="99"/>
        <w:spacing w:after="0"/>
        <w:jc w:val="center"/>
        <w:rPr>
          <w:rFonts w:ascii="Times New Roman" w:hAnsi="Times New Roman" w:cs="Times New Roman"/>
          <w:sz w:val="28"/>
          <w:szCs w:val="28"/>
        </w:rPr>
      </w:pPr>
      <w:r w:rsidRPr="008D2108">
        <w:rPr>
          <w:rFonts w:ascii="Times New Roman" w:hAnsi="Times New Roman" w:cs="Times New Roman"/>
          <w:sz w:val="28"/>
          <w:szCs w:val="28"/>
        </w:rPr>
        <w:t>Будьте внимательны к своим детям!</w:t>
      </w:r>
    </w:p>
    <w:p w:rsidR="00690B39" w:rsidRPr="008D2108" w:rsidRDefault="00690B39" w:rsidP="00690B39">
      <w:pPr>
        <w:shd w:val="clear" w:color="auto" w:fill="A8D08D" w:themeFill="accent6" w:themeFillTint="99"/>
        <w:spacing w:after="0"/>
        <w:rPr>
          <w:rFonts w:ascii="Times New Roman" w:hAnsi="Times New Roman" w:cs="Times New Roman"/>
          <w:sz w:val="28"/>
          <w:szCs w:val="28"/>
        </w:rPr>
      </w:pPr>
    </w:p>
    <w:p w:rsidR="00BD6487" w:rsidRDefault="00BD6487">
      <w:bookmarkStart w:id="0" w:name="_GoBack"/>
      <w:bookmarkEnd w:id="0"/>
    </w:p>
    <w:sectPr w:rsidR="00BD6487" w:rsidSect="00C31A72">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39"/>
    <w:rsid w:val="00690B39"/>
    <w:rsid w:val="00BD6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296A3-40C8-42FA-91AE-778AADC2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Педагог-психолог</dc:creator>
  <cp:keywords/>
  <dc:description/>
  <cp:lastModifiedBy>Педагог-психолог</cp:lastModifiedBy>
  <cp:revision>1</cp:revision>
  <dcterms:created xsi:type="dcterms:W3CDTF">2021-03-29T09:25:00Z</dcterms:created>
  <dcterms:modified xsi:type="dcterms:W3CDTF">2021-03-29T09:26:00Z</dcterms:modified>
</cp:coreProperties>
</file>