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D15" w:rsidRDefault="00566D15" w:rsidP="00566D15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</w:rPr>
      </w:pPr>
      <w:r w:rsidRPr="00566D1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О мерах по укреплению общественной безопасности и дисциплины</w:t>
      </w:r>
      <w:r w:rsidRPr="00566D15">
        <w:rPr>
          <w:rFonts w:ascii="Times New Roman" w:hAnsi="Times New Roman" w:cs="Times New Roman"/>
          <w:b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Директива № 1 от 11 марта 2004 г. (в редакции Указа № 420 от 12 октября 2015 г.)</w:t>
      </w:r>
      <w:r>
        <w:rPr>
          <w:rFonts w:ascii="Times New Roman" w:hAnsi="Times New Roman" w:cs="Times New Roman"/>
          <w:b/>
          <w:color w:val="222222"/>
          <w:sz w:val="28"/>
          <w:szCs w:val="28"/>
        </w:rPr>
        <w:t xml:space="preserve"> </w:t>
      </w:r>
    </w:p>
    <w:p w:rsidR="00566D15" w:rsidRDefault="00566D15" w:rsidP="00566D15">
      <w:pPr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66D15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11 марта 2004 г.</w:t>
      </w:r>
    </w:p>
    <w:p w:rsidR="00566D15" w:rsidRDefault="00566D15" w:rsidP="00566D1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Системная работа государственных органов всех уровней, иных организаций и граждан по укреплению общественной безопасности и дисциплины способствовала снижению гибели и травматизма людей.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результате совместных усилий, предпринятых в течение последних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лет, жизнь граждан страны стала более безопасной и комфортной. Значительно снизился уровень преступности, постепенно нормализуется ситуация с авариями на дорогах, уменьшилось количество пожаров и других чрезвычайных ситуаций.</w:t>
      </w:r>
    </w:p>
    <w:p w:rsidR="00566D15" w:rsidRDefault="00566D15" w:rsidP="00566D1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Вместе с тем существующие проблемы в обеспечении общественной безопасности и дисциплины полностью не решены. Люди продолжают гибнуть от внешних причин. Страна много теряет от бесхозяйственности, 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расхлябанности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пьянства, наркомании. Деятельность по обеспечению общественной безопасности и укреплению дисциплины требует дальнейшего совершенствования.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Основными причинами происшествий, повлекших гибель людей, являются безответственное отношение граждан к личной безопасности, а также невыполнение руководителями организаций независимо от форм собственности своих обязанностей по обеспечению здоровых и безопасных условий труда, соблюдению требований пожарной и промышленной безопасности, производственно-технологической дисциплины и недостаточный контроль со стороны руководителей государственных органов за деятельностью подчиненных организаций.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Органами государственного надзора, профессиональными союзами вскрываются многочисленные факты несоблюдения элементарных норм охраны труда, исполнительской и трудовой  дисциплины.</w:t>
      </w:r>
    </w:p>
    <w:p w:rsidR="00566D15" w:rsidRDefault="00566D15" w:rsidP="00566D1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Эффективность работы по профилактике чрезвычайных происшествий на местах остается низкой. Зачастую руководители не рассматривают эту работу в качестве приоритетной, а предписания контролирующих (надзорных) </w:t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органов по обеспечению безопасности производства выполняют по ”остаточному“ принципу.</w:t>
      </w:r>
    </w:p>
    <w:p w:rsidR="00566D15" w:rsidRDefault="00566D15" w:rsidP="00566D1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Одной из главных причин гибели людей, которой вполне можно было избежать, остается человеческий фактор, основанный на низкой культуре населения в области знания и соблюдения мер безопасности, а также на отсутствии необходимых навыков поведения в чрезвычайных ситуациях.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целях дальнейшего укрепления общественной безопасности и дисциплины, создания дополнительных условий для безопасной жизнедеятельности населения: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 Руководителям государственных органов, иных организаций независимо от форм собственности:</w:t>
      </w:r>
    </w:p>
    <w:p w:rsidR="003630F3" w:rsidRPr="00566D15" w:rsidRDefault="00566D15" w:rsidP="00566D15">
      <w:pPr>
        <w:jc w:val="both"/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1.1. одним из основных критериев оценки выполнения настоящей Директивы считать обеспечение здоровых и безопасных условий труда, промышленной, пожарной, ядерной и радиационной безопасности, безопасности движения и эксплуатации транспорта, формирование </w:t>
      </w:r>
      <w:proofErr w:type="spell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правопослушного</w:t>
      </w:r>
      <w:proofErr w:type="spell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поведения, здорового образа жизни, навыков по обеспечению личной и имущественной безопасности граждан,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 том числе в подчиненных (расположенных на подведомственной территории) органах и организациях;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1.2. в целях исключения чрезвычайных происшествий и производственного травматизма обеспечить систематический контроль физического состояния работников, занятых на работах с вредными и (или) опасными условиями труда или повышенной опасностью, путем проведения освидетельствований и (или) медицинских осмотров, в том числе с использованием приборов, предназначенных для определения концентрации паров абсолютного этилового спирта в выдыхаемом воздухе, и (или) экспресс-тестов (тест-полосок, экспресс-пластин), предназначенных для определения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наличия наркотических средств или других веществ в биологических образцах;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1.3. для повышения безопасности транспортной деятельности неукоснительно проводить в установленном порядке </w:t>
      </w:r>
      <w:proofErr w:type="spell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предрейсовые</w:t>
      </w:r>
      <w:proofErr w:type="spell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иные медицинские обследования водителей, а также обеспечивать соответствие технического состояния транспортных 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средств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требованиям безопасности </w:t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дорожного движения, не допуская к участию в дорожном движении неисправный транспорт;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1.4. обеспечить безусловное привлечение работников организаций к дисциплинарной ответственности вплоть до увольнения за: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появление на работе в состоянии алкогольного, наркотического или токсического опьянения, а также распитие спиртных напитков, употребление наркотических средств, психотропных веществ, их аналогов, токсических веществ в рабочее время или по месту работы;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нарушение требований по охране труда, повлекшее увечье или смерть других работников;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1.5. своевременно и качественно проводить аттестацию рабочих мест по условиям труда, повышать эффективность работы по информированию работников о состоянии охраны труда на рабочих местах, существующих рисках для их здоровья, полагающихся средствах индивидуальной защиты и компенсациях по условиям труда;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1.6. для повышения безопасности производственной деятельности исключить случаи допуска работников к работе на оборудовании, имеющем неисправности, либо при отсутствии его испытаний, осмотров, технических освидетельствований;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1.7. совершенствовать формы и методы взаимодействия с местными Советами депутатов, профессиональными союзами и иными общественными организациями по вопросам охраны труда;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1.8. при эксплуатации производственных, жилых, общественных зданий и сооружений обеспечить безусловное выполнение обязательных для соблюдения требований технических нормативных правовых актов, в том числе по их техническому состоянию, своевременному обслуживанию, проведению обследований, содержанию прилегающих территорий и ведению соответствующей технической документации;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1.9. при проведении культурно-зрелищных, физкультурно-оздоровительных, спортивно-массовых мероприятий, спортивных соревнований и иных массовых мероприятий планировать и реализовывать совместно с 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заинтересованными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комплекс мер по обеспечению порядка их проведения и общественной безопасности. Персональную ответственность за обеспечение порядка проведения таких мероприятий возложить на их организаторов и руководителей организаций, на балансе которых находятся объекты, служащие местом проведения этих мероприятий, а персональную ответственность за обеспечение общественного порядка – на руководителей органов внутренних дел.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2. 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Совету Министров Республики Беларусь: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2.1. до 1 января 2016 г. совместно с заинтересованными государственными органами и организациями изучить вопросы и принять меры по: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повышению ответственности работников за личную безопасность и собственное здоровье, безопасность окружающих в процессе </w:t>
      </w:r>
      <w:proofErr w:type="spell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выполненияработ</w:t>
      </w:r>
      <w:proofErr w:type="spell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расширению полномочий должностных лиц на осуществление контроля за соблюдением работниками законодательства об охране труда;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возложению персональной ответственности на руководителей организаций, осуществляющих архитектурную, градостроительную и строительную деятельность, по соблюдению дисциплины, в том числе в нерабочее время при производстве работ вахтовым методом и проживании рабочих на территории строящихся объектов;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совершенствованию системы экономических стимулов и санкций, способствующих соблюдению требований безопасности;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усилению персональной ответственности руководителей (нанимателей) соответствующих организаций за качество разрабатываемой проектно-сметной документации, строительства, ремонта, поддержания в надлежащем состоянии, реконструкции и модернизации объектов производственного и социально-бытового назначения, а также за неосуществление мер по соблюдению производственной дисциплины;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усилению 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контроля за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своевременным прохождением работниками обязательных медицинских осмотров с целью снижения риска профессиональных заболеваний;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укреплению безопасности дорожного движения и дисциплины его участников, снижению гибели и травматизма людей в результате дорожно-транспортных происшествий, совершенствованию механизма профилактики детского травматизма на дорогах, обустройству их участков с потенциальным риском дорожно-транспортных происшествий необходимыми средствами безопасности;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ужесточению требований к производителям алкогольной продукции в части повышения ее качества, повышению их персональной ответственности за выпуск и реализацию непищевой спиртосодержащей продукции, не соответствующей требованиям законодательства;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выработке механизма и единых подходов органов государственного управления по организации работы, направленной на поэтапное сокращение потребления населением алкогольной продукции;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2.2. до 1 февраля 2016 г. обеспечить разработку порядка обследования строительных конструкций наиболее важных промышленных объектов и общественных зданий (в первую очередь с массовым пребыванием людей), в том числе с использованием инструментальных методов, предусмотрев возложение обязанности осуществлять такое обследование на собственников указанных объектов;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2.3. при подготовке проекта Государственной программы социально- экономического развития Республики Беларусь на 2016 – 2020 годы предусмотреть в нем основные направления по обеспечению безопасности жизнедеятельности населения;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2.4. принять меры по повышению качества обучения населения вопросам безопасности жизнедеятельности, в том числе путем включения дисциплины ”Основы безопасности жизнедеятельности“ в перечень обязательных для изучения учебных предметов типовых учебных планов общеобразовательных учреждений.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Расширить практику </w:t>
      </w:r>
      <w:proofErr w:type="spell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организациилагерей</w:t>
      </w:r>
      <w:proofErr w:type="spell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слетов, конкурсов и иных мероприятий, направленных на формирование у детей и молодежи культуры безопасности жизнедеятельности.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3. 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Государственным органам: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3.1. совместно с местными исполнительными и распорядительными </w:t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органами, иными организациями независимо от форм собственности обеспечить ежегодное обследование: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объектов социально-бытового и социально-культурного назначения с принятием собственниками (организациями, осуществляющими эксплуатацию имущества и управление им) безотлагательных мер по обеспечению безопасной эксплуатации строений, находящихся в </w:t>
      </w:r>
      <w:proofErr w:type="spell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аварийноми</w:t>
      </w:r>
      <w:proofErr w:type="spell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ветхом состоянии, в части выполнения ремонтных работ либо вынесения решений по их сносу и утилизации;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неиспользуемых капитальных строений, зданий, сооружений, подвальных и чердачных помещений, технических подполий и этажей, вспомогательных помещений с инженерным оборудованием многоквартирных жилых домов,  а также принятие собственниками (организациями, осуществляющими эксплуатацию имущества и управление им) мер по ограничению доступа  в данные строения (помещения) посторонних лиц и обеспечению их эксплуатации в соответствии с установленными требованиями;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3.2. принять меры по разработке и реализации на отраслевом и территориальном уровнях комплексных планов мероприятий по обеспечению безопасности производственной деятельности и осуществлять мониторинг их реализации.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4. Работникам организаций независимо от форм собственности немедленно принимать меры по безопасной остановке оборудования, приспособлений, транспортных средств с извещением своего непосредственного руководителя или иного уполномоченного должностного лица нанимателя в случае неисправности такого оборудования, средств защиты, ухудшения состояния своего здоровья.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5. Следственному комитету, Министерству здравоохранения на постоянной основе проводить анализ причин и условий гибели граждан, по результатам которого вносить необходимые предложения о принятии дополнительных мер по устранению либо минимизации таких причин и условий.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6. 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Министерству информации, республиканским и местным средствам массовой информации обеспечивать систематическое освещение в государственных средствах массовой информации, в том числе путем создания (расширения) постоянных рубрик и программ, вопросов </w:t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обеспечения общественной, промышленной, пожарной, ядерной и радиационной безопасности, защиты населения и территорий от чрезвычайных ситуаций, последствий нарушений производственно-технологической дисциплины, безопасности перевозки опасных грузов, охраны труда, а также вопросов безопасности жизнедеятельности, здорового образа жизни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и вовлечения граждан в занятия физической культурой и спортом, последствий для здоровья табакокурения, употребления наркотических средств, психотропных веществ, их аналогов, токсических веществ, алкогольной, непищевой спиртосодержащей продукции.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 Министерству транспорта и коммуникаций, Министерству внутренних дел: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7.1. совместно с заинтересованными государственными органами и организациями ежегодно проводить семинары по вопросам организации работы по обеспечению безопасности движения и эксплуатации транспорта со специалистами государственных органов и организаций, ответственными за указанное направление деятельности;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7.2. совместно с облисполкомами и Минским горисполкомом </w:t>
      </w:r>
      <w:proofErr w:type="spell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принятьмеры</w:t>
      </w:r>
      <w:proofErr w:type="spell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по безусловному выполнению мероприятий, направленных на обеспечение безопасности перевозок пассажиров, особенно воздушным, железнодорожным транспортом и в Минском метрополитене. Обеспечить постоянную оценку уровня безопасности пассажирских перевозок.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8. 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Министерству труда и социальной защиты, Министерству по чрезвычайным ситуациям, Министерству внутренних дел на основе анализа результатов работы по контролю (надзору) соответственно за безопасными условиями труда, промышленной, пожарной, ядерной и радиационной безопасностью, защитой населения и территорий от чрезвычайных ситуаций, последствиями нарушений производственно-технологической дисциплины, состоянием общественной безопасности ежегодно планировать комплекс мер по профилактике выявленных нарушений.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9.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 Государственному комитету по стандартизации, Министерству архитектуры и строительства обеспечить 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контроль за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соблюдением проектными организациями обязательных для соблюдения требований технических нормативных правовых актов при проектировании объектов. При выявлении фактов несоблюдения таких требований принимать меры по </w:t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прекращению действия квалификационных аттестатов организаций и индивидуальных предпринимателей, допустивших нарушения.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10. Облисполкомам и Минскому горисполкому до 1 января 2016 г. выработать и обеспечить реализацию на подведомственной территории комплекса мер по укреплению производственно-технологической, исполнительской и трудовой дисциплины, безопасности производственной деятельности. Результаты этой работы ежегодно рассматривать на заседаниях исполкомов.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11. Республиканскому государственно-общественному объединению ”Белорусское республиканское общество спасания на водах“ принять дополнительные меры по обеспечению 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контроля за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соблюдением правил охраны жизни людей на водах, в том числе в части эффективного функционирования спасательных станций и постов.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12. Федерации профсоюзов Беларуси рекомендовать повысить эффективность общественного 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контроля за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соблюдением производственно-технологической дисциплины и безопасности производственной деятельности.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13. Местным Советам депутатов рекомендовать активнее участвовать в предупреждении чрезвычайных ситуаций, обеспечении общественной, промышленной, пожарной безопасности, безопасности транспортной деятельности, улучшении условий и охраны </w:t>
      </w:r>
      <w:proofErr w:type="spell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труда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,ф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ормировании</w:t>
      </w:r>
      <w:proofErr w:type="spell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здорового образа жизни населения, в том числе при подготовке и утверждении региональных программ, концепций (планов мероприятий) по указанным направлениям деятельности, осуществлении контроля за их выполнением и утверждении отчетов об их исполнении.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14. Совету Министров Республики Беларусь, облисполкомам и Минскому горисполкому в трехмесячный срок разработать и по согласованию  с Государственным секретариатом Совета Безопасности Республики Беларусь утвердить соответственно республиканский и местные планы мероприятий по реализации положений настоящей Директивы с указанием ответственных исполнителей и сроков их выполнения.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15. </w:t>
      </w:r>
      <w:proofErr w:type="gram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Контроль за</w:t>
      </w:r>
      <w:proofErr w:type="gram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выполнением настоящей Директивы возложить на Государственный секретариат Совета Безопасности Республики Беларусь, </w:t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lastRenderedPageBreak/>
        <w:t>организацию и координацию данной деятельности республиканских органов государственного управления, иных государственных организаций, подчиненных Правительству Республики Беларусь, – на Совет Министров Республики Беларусь, а на территориальном уровне – на облисполкомы и Минский горисполком.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16. Государственному секретариату Совета Безопасности </w:t>
      </w:r>
      <w:proofErr w:type="spell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РеспубликиБеларусь</w:t>
      </w:r>
      <w:proofErr w:type="spell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ежегодно до 1 марта докладывать Президенту Республики Беларусь о результатах деятельности государственных органов и иных организаций по выполнению настоящей Директивы.</w:t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</w:rPr>
        <w:br/>
      </w:r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Президент Республики Беларусь </w:t>
      </w:r>
      <w:proofErr w:type="spellStart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А.Лукашенко</w:t>
      </w:r>
      <w:proofErr w:type="spellEnd"/>
      <w:r w:rsidRPr="00566D15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https://president.gov.by/ru/documents/direktiva-1-ot-11-marta-2004-g-1397</w:t>
      </w:r>
    </w:p>
    <w:sectPr w:rsidR="003630F3" w:rsidRPr="00566D15" w:rsidSect="00D84C4A">
      <w:headerReference w:type="default" r:id="rId8"/>
      <w:pgSz w:w="11906" w:h="16838"/>
      <w:pgMar w:top="851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7E2" w:rsidRDefault="00A607E2" w:rsidP="00D84C4A">
      <w:pPr>
        <w:spacing w:after="0" w:line="240" w:lineRule="auto"/>
      </w:pPr>
      <w:r>
        <w:separator/>
      </w:r>
    </w:p>
  </w:endnote>
  <w:endnote w:type="continuationSeparator" w:id="0">
    <w:p w:rsidR="00A607E2" w:rsidRDefault="00A607E2" w:rsidP="00D84C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7E2" w:rsidRDefault="00A607E2" w:rsidP="00D84C4A">
      <w:pPr>
        <w:spacing w:after="0" w:line="240" w:lineRule="auto"/>
      </w:pPr>
      <w:r>
        <w:separator/>
      </w:r>
    </w:p>
  </w:footnote>
  <w:footnote w:type="continuationSeparator" w:id="0">
    <w:p w:rsidR="00A607E2" w:rsidRDefault="00A607E2" w:rsidP="00D84C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83991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D84C4A" w:rsidRPr="007C64D6" w:rsidRDefault="00D84C4A">
        <w:pPr>
          <w:pStyle w:val="ab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7C64D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7C64D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7C64D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66D15">
          <w:rPr>
            <w:rFonts w:ascii="Times New Roman" w:hAnsi="Times New Roman" w:cs="Times New Roman"/>
            <w:noProof/>
            <w:sz w:val="28"/>
            <w:szCs w:val="28"/>
          </w:rPr>
          <w:t>9</w:t>
        </w:r>
        <w:r w:rsidRPr="007C64D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D84C4A" w:rsidRDefault="00D84C4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786"/>
    <w:rsid w:val="000146D4"/>
    <w:rsid w:val="00034F81"/>
    <w:rsid w:val="000708C8"/>
    <w:rsid w:val="00083DFA"/>
    <w:rsid w:val="001140A6"/>
    <w:rsid w:val="00137C0B"/>
    <w:rsid w:val="00144308"/>
    <w:rsid w:val="00166BE2"/>
    <w:rsid w:val="001953CA"/>
    <w:rsid w:val="0020325A"/>
    <w:rsid w:val="0022073B"/>
    <w:rsid w:val="00241D8C"/>
    <w:rsid w:val="0028257A"/>
    <w:rsid w:val="002C3F05"/>
    <w:rsid w:val="00311111"/>
    <w:rsid w:val="0035295E"/>
    <w:rsid w:val="00360739"/>
    <w:rsid w:val="003630F3"/>
    <w:rsid w:val="003A1413"/>
    <w:rsid w:val="003D62F7"/>
    <w:rsid w:val="003E5769"/>
    <w:rsid w:val="00426FDF"/>
    <w:rsid w:val="00480202"/>
    <w:rsid w:val="0051780B"/>
    <w:rsid w:val="00517FB7"/>
    <w:rsid w:val="00522348"/>
    <w:rsid w:val="00566D15"/>
    <w:rsid w:val="00596410"/>
    <w:rsid w:val="005D40BB"/>
    <w:rsid w:val="005E1780"/>
    <w:rsid w:val="00621D1C"/>
    <w:rsid w:val="006C5D58"/>
    <w:rsid w:val="00791D6B"/>
    <w:rsid w:val="007C64D6"/>
    <w:rsid w:val="007E0FFF"/>
    <w:rsid w:val="00815786"/>
    <w:rsid w:val="00890627"/>
    <w:rsid w:val="008C263D"/>
    <w:rsid w:val="00922465"/>
    <w:rsid w:val="00924C76"/>
    <w:rsid w:val="0099194B"/>
    <w:rsid w:val="009C7F28"/>
    <w:rsid w:val="009D5E14"/>
    <w:rsid w:val="00A25C67"/>
    <w:rsid w:val="00A607E2"/>
    <w:rsid w:val="00AB36A9"/>
    <w:rsid w:val="00AB7838"/>
    <w:rsid w:val="00BA1160"/>
    <w:rsid w:val="00C229EC"/>
    <w:rsid w:val="00C55B41"/>
    <w:rsid w:val="00CA00D3"/>
    <w:rsid w:val="00D628F1"/>
    <w:rsid w:val="00D73C0D"/>
    <w:rsid w:val="00D84C4A"/>
    <w:rsid w:val="00D85015"/>
    <w:rsid w:val="00D95401"/>
    <w:rsid w:val="00DD1D99"/>
    <w:rsid w:val="00DD5F52"/>
    <w:rsid w:val="00ED0FF1"/>
    <w:rsid w:val="00EE4832"/>
    <w:rsid w:val="00F539F0"/>
    <w:rsid w:val="00F93410"/>
    <w:rsid w:val="00F93EB6"/>
    <w:rsid w:val="00FB6828"/>
    <w:rsid w:val="00FD060F"/>
    <w:rsid w:val="00FF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F19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FF198C"/>
    <w:rPr>
      <w:b/>
      <w:bCs/>
    </w:rPr>
  </w:style>
  <w:style w:type="paragraph" w:styleId="a4">
    <w:name w:val="List Paragraph"/>
    <w:basedOn w:val="a"/>
    <w:uiPriority w:val="34"/>
    <w:qFormat/>
    <w:rsid w:val="00FF19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F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AB7838"/>
    <w:rPr>
      <w:rFonts w:ascii="Calibri" w:eastAsia="Calibri" w:hAnsi="Calibri" w:cs="Calibri"/>
    </w:rPr>
  </w:style>
  <w:style w:type="paragraph" w:styleId="a7">
    <w:name w:val="No Spacing"/>
    <w:link w:val="a6"/>
    <w:uiPriority w:val="99"/>
    <w:qFormat/>
    <w:rsid w:val="00AB78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сновной текст1"/>
    <w:basedOn w:val="a"/>
    <w:rsid w:val="00AB7838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2"/>
    <w:rsid w:val="009C7F28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9C7F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3">
    <w:name w:val="Основной текст3"/>
    <w:basedOn w:val="a"/>
    <w:rsid w:val="00FD060F"/>
    <w:pPr>
      <w:widowControl w:val="0"/>
      <w:shd w:val="clear" w:color="auto" w:fill="FFFFFF"/>
      <w:spacing w:after="60" w:line="277" w:lineRule="exact"/>
    </w:pPr>
    <w:rPr>
      <w:rFonts w:ascii="Sylfaen" w:eastAsia="Sylfaen" w:hAnsi="Sylfaen" w:cs="Sylfaen"/>
      <w:color w:val="000000"/>
      <w:spacing w:val="6"/>
      <w:sz w:val="26"/>
      <w:szCs w:val="26"/>
      <w:lang w:eastAsia="ru-RU"/>
    </w:rPr>
  </w:style>
  <w:style w:type="character" w:customStyle="1" w:styleId="a9">
    <w:name w:val="Подпись к таблице_"/>
    <w:basedOn w:val="a0"/>
    <w:link w:val="aa"/>
    <w:rsid w:val="00FD060F"/>
    <w:rPr>
      <w:rFonts w:ascii="Sylfaen" w:eastAsia="Sylfaen" w:hAnsi="Sylfaen" w:cs="Sylfaen"/>
      <w:spacing w:val="6"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D060F"/>
    <w:pPr>
      <w:widowControl w:val="0"/>
      <w:shd w:val="clear" w:color="auto" w:fill="FFFFFF"/>
      <w:spacing w:after="0" w:line="338" w:lineRule="exact"/>
      <w:jc w:val="both"/>
    </w:pPr>
    <w:rPr>
      <w:rFonts w:ascii="Sylfaen" w:eastAsia="Sylfaen" w:hAnsi="Sylfaen" w:cs="Sylfaen"/>
      <w:spacing w:val="6"/>
      <w:sz w:val="26"/>
      <w:szCs w:val="26"/>
    </w:rPr>
  </w:style>
  <w:style w:type="character" w:customStyle="1" w:styleId="95pt0pt">
    <w:name w:val="Основной текст + 9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C4A"/>
  </w:style>
  <w:style w:type="paragraph" w:styleId="ad">
    <w:name w:val="footer"/>
    <w:basedOn w:val="a"/>
    <w:link w:val="ae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C4A"/>
  </w:style>
  <w:style w:type="table" w:styleId="af">
    <w:name w:val="Table Grid"/>
    <w:basedOn w:val="a1"/>
    <w:uiPriority w:val="59"/>
    <w:rsid w:val="0020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FF198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uiPriority w:val="22"/>
    <w:qFormat/>
    <w:rsid w:val="00FF198C"/>
    <w:rPr>
      <w:b/>
      <w:bCs/>
    </w:rPr>
  </w:style>
  <w:style w:type="paragraph" w:styleId="a4">
    <w:name w:val="List Paragraph"/>
    <w:basedOn w:val="a"/>
    <w:uiPriority w:val="34"/>
    <w:qFormat/>
    <w:rsid w:val="00FF198C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FF1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link w:val="a7"/>
    <w:uiPriority w:val="99"/>
    <w:locked/>
    <w:rsid w:val="00AB7838"/>
    <w:rPr>
      <w:rFonts w:ascii="Calibri" w:eastAsia="Calibri" w:hAnsi="Calibri" w:cs="Calibri"/>
    </w:rPr>
  </w:style>
  <w:style w:type="paragraph" w:styleId="a7">
    <w:name w:val="No Spacing"/>
    <w:link w:val="a6"/>
    <w:uiPriority w:val="99"/>
    <w:qFormat/>
    <w:rsid w:val="00AB7838"/>
    <w:pPr>
      <w:spacing w:after="0" w:line="240" w:lineRule="auto"/>
    </w:pPr>
    <w:rPr>
      <w:rFonts w:ascii="Calibri" w:eastAsia="Calibri" w:hAnsi="Calibri" w:cs="Calibri"/>
    </w:rPr>
  </w:style>
  <w:style w:type="paragraph" w:customStyle="1" w:styleId="1">
    <w:name w:val="Основной текст1"/>
    <w:basedOn w:val="a"/>
    <w:rsid w:val="00AB7838"/>
    <w:pPr>
      <w:widowControl w:val="0"/>
      <w:spacing w:after="0" w:line="240" w:lineRule="auto"/>
      <w:ind w:firstLine="30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Основной текст_"/>
    <w:basedOn w:val="a0"/>
    <w:link w:val="2"/>
    <w:rsid w:val="009C7F28"/>
    <w:rPr>
      <w:rFonts w:ascii="Times New Roman" w:eastAsia="Times New Roman" w:hAnsi="Times New Roman" w:cs="Times New Roman"/>
      <w:spacing w:val="2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8"/>
    <w:rsid w:val="009C7F2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2"/>
      <w:sz w:val="27"/>
      <w:szCs w:val="27"/>
    </w:rPr>
  </w:style>
  <w:style w:type="paragraph" w:customStyle="1" w:styleId="3">
    <w:name w:val="Основной текст3"/>
    <w:basedOn w:val="a"/>
    <w:rsid w:val="00FD060F"/>
    <w:pPr>
      <w:widowControl w:val="0"/>
      <w:shd w:val="clear" w:color="auto" w:fill="FFFFFF"/>
      <w:spacing w:after="60" w:line="277" w:lineRule="exact"/>
    </w:pPr>
    <w:rPr>
      <w:rFonts w:ascii="Sylfaen" w:eastAsia="Sylfaen" w:hAnsi="Sylfaen" w:cs="Sylfaen"/>
      <w:color w:val="000000"/>
      <w:spacing w:val="6"/>
      <w:sz w:val="26"/>
      <w:szCs w:val="26"/>
      <w:lang w:eastAsia="ru-RU"/>
    </w:rPr>
  </w:style>
  <w:style w:type="character" w:customStyle="1" w:styleId="a9">
    <w:name w:val="Подпись к таблице_"/>
    <w:basedOn w:val="a0"/>
    <w:link w:val="aa"/>
    <w:rsid w:val="00FD060F"/>
    <w:rPr>
      <w:rFonts w:ascii="Sylfaen" w:eastAsia="Sylfaen" w:hAnsi="Sylfaen" w:cs="Sylfaen"/>
      <w:spacing w:val="6"/>
      <w:sz w:val="26"/>
      <w:szCs w:val="26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FD060F"/>
    <w:pPr>
      <w:widowControl w:val="0"/>
      <w:shd w:val="clear" w:color="auto" w:fill="FFFFFF"/>
      <w:spacing w:after="0" w:line="338" w:lineRule="exact"/>
      <w:jc w:val="both"/>
    </w:pPr>
    <w:rPr>
      <w:rFonts w:ascii="Sylfaen" w:eastAsia="Sylfaen" w:hAnsi="Sylfaen" w:cs="Sylfaen"/>
      <w:spacing w:val="6"/>
      <w:sz w:val="26"/>
      <w:szCs w:val="26"/>
    </w:rPr>
  </w:style>
  <w:style w:type="character" w:customStyle="1" w:styleId="95pt0pt">
    <w:name w:val="Основной текст + 9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75pt0pt">
    <w:name w:val="Основной текст + 7;5 pt;Интервал 0 pt"/>
    <w:basedOn w:val="a8"/>
    <w:rsid w:val="00FD060F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8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styleId="ab">
    <w:name w:val="header"/>
    <w:basedOn w:val="a"/>
    <w:link w:val="ac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84C4A"/>
  </w:style>
  <w:style w:type="paragraph" w:styleId="ad">
    <w:name w:val="footer"/>
    <w:basedOn w:val="a"/>
    <w:link w:val="ae"/>
    <w:uiPriority w:val="99"/>
    <w:unhideWhenUsed/>
    <w:rsid w:val="00D84C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84C4A"/>
  </w:style>
  <w:style w:type="table" w:styleId="af">
    <w:name w:val="Table Grid"/>
    <w:basedOn w:val="a1"/>
    <w:uiPriority w:val="59"/>
    <w:rsid w:val="002032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F334A-AA65-4B3A-BD15-16DD4192E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2409</Words>
  <Characters>13736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П. Захаревич</dc:creator>
  <cp:lastModifiedBy>Наталья Николаевна</cp:lastModifiedBy>
  <cp:revision>2</cp:revision>
  <dcterms:created xsi:type="dcterms:W3CDTF">2024-03-11T06:43:00Z</dcterms:created>
  <dcterms:modified xsi:type="dcterms:W3CDTF">2024-03-11T06:43:00Z</dcterms:modified>
</cp:coreProperties>
</file>